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546E" w:rsidRDefault="001A546E" w:rsidP="001A546E">
      <w:pPr>
        <w:ind w:right="-198"/>
        <w:rPr>
          <w:sz w:val="19"/>
        </w:rPr>
      </w:pPr>
    </w:p>
    <w:p w:rsidR="001A546E" w:rsidRDefault="001A546E" w:rsidP="001A546E">
      <w:pPr>
        <w:framePr w:w="10245" w:h="865" w:hSpace="180" w:wrap="around" w:vAnchor="text" w:hAnchor="page" w:x="1042" w:y="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hanging="180"/>
        <w:jc w:val="center"/>
        <w:rPr>
          <w:rFonts w:ascii="Arial Rounded MT Bold" w:hAnsi="Arial Rounded MT Bold"/>
          <w:b/>
          <w:sz w:val="22"/>
        </w:rPr>
      </w:pPr>
    </w:p>
    <w:p w:rsidR="001A546E" w:rsidRDefault="001A546E" w:rsidP="001A546E">
      <w:pPr>
        <w:framePr w:w="10245" w:h="865" w:hSpace="180" w:wrap="around" w:vAnchor="text" w:hAnchor="page" w:x="1042" w:y="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hanging="18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EXAMPLE:</w:t>
      </w:r>
    </w:p>
    <w:p w:rsidR="001A546E" w:rsidRDefault="001A546E" w:rsidP="001A546E">
      <w:pPr>
        <w:framePr w:w="10245" w:h="865" w:hSpace="180" w:wrap="around" w:vAnchor="text" w:hAnchor="page" w:x="1042" w:y="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hanging="180"/>
        <w:jc w:val="center"/>
        <w:rPr>
          <w:rFonts w:cs="Arial"/>
          <w:b/>
          <w:sz w:val="22"/>
        </w:rPr>
      </w:pPr>
    </w:p>
    <w:p w:rsidR="001A546E" w:rsidRPr="00F302DE" w:rsidRDefault="001A546E" w:rsidP="001A546E">
      <w:pPr>
        <w:framePr w:w="10245" w:h="865" w:hSpace="180" w:wrap="around" w:vAnchor="text" w:hAnchor="page" w:x="1042" w:y="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hanging="180"/>
        <w:jc w:val="center"/>
        <w:rPr>
          <w:rFonts w:cs="Arial"/>
          <w:sz w:val="19"/>
        </w:rPr>
      </w:pPr>
      <w:r w:rsidRPr="00F302DE">
        <w:rPr>
          <w:rFonts w:cs="Arial"/>
          <w:b/>
          <w:sz w:val="22"/>
        </w:rPr>
        <w:t>FACILITIES AND RESOURCES</w:t>
      </w:r>
    </w:p>
    <w:p w:rsidR="001A546E" w:rsidRDefault="001A546E" w:rsidP="001A546E">
      <w:pPr>
        <w:ind w:right="-198"/>
        <w:rPr>
          <w:sz w:val="19"/>
        </w:rPr>
      </w:pPr>
    </w:p>
    <w:p w:rsidR="001A546E" w:rsidRDefault="001A546E" w:rsidP="001A546E">
      <w:pPr>
        <w:ind w:right="-198"/>
        <w:rPr>
          <w:sz w:val="19"/>
        </w:rPr>
      </w:pPr>
    </w:p>
    <w:p w:rsidR="001A546E" w:rsidRDefault="001A546E" w:rsidP="001A546E">
      <w:pPr>
        <w:ind w:left="180" w:right="90"/>
        <w:rPr>
          <w:rFonts w:cs="Arial"/>
          <w:b/>
          <w:spacing w:val="-5"/>
          <w:sz w:val="24"/>
        </w:rPr>
      </w:pPr>
      <w:r w:rsidRPr="001A546E">
        <w:rPr>
          <w:rFonts w:cs="Arial"/>
          <w:b/>
          <w:sz w:val="24"/>
        </w:rPr>
        <w:t xml:space="preserve">FACILITIES: </w:t>
      </w:r>
      <w:r w:rsidRPr="001A546E">
        <w:rPr>
          <w:rFonts w:cs="Arial"/>
          <w:b/>
          <w:spacing w:val="-5"/>
          <w:sz w:val="24"/>
        </w:rPr>
        <w:t>List the facilities to be used and briefly indicate their capacities, pertinent capabilities, relative proximity and extent of avail</w:t>
      </w:r>
      <w:r w:rsidRPr="001A546E">
        <w:rPr>
          <w:rFonts w:cs="Arial"/>
          <w:b/>
          <w:spacing w:val="-5"/>
          <w:sz w:val="24"/>
        </w:rPr>
        <w:softHyphen/>
        <w:t xml:space="preserve">ability for the project. </w:t>
      </w:r>
    </w:p>
    <w:p w:rsidR="001A546E" w:rsidRDefault="001A546E" w:rsidP="001A546E">
      <w:pPr>
        <w:ind w:left="180" w:right="90"/>
        <w:rPr>
          <w:rFonts w:cs="Arial"/>
          <w:b/>
          <w:spacing w:val="-5"/>
          <w:sz w:val="24"/>
        </w:rPr>
      </w:pPr>
    </w:p>
    <w:p w:rsidR="001A546E" w:rsidRPr="001A546E" w:rsidRDefault="001A546E" w:rsidP="001A546E">
      <w:pPr>
        <w:ind w:left="180" w:right="90"/>
        <w:rPr>
          <w:rFonts w:cs="Arial"/>
          <w:b/>
          <w:spacing w:val="-5"/>
          <w:sz w:val="24"/>
        </w:rPr>
      </w:pPr>
    </w:p>
    <w:p w:rsidR="001A546E" w:rsidRPr="001A546E" w:rsidRDefault="001A546E" w:rsidP="001A546E">
      <w:pPr>
        <w:ind w:left="180" w:right="90"/>
        <w:rPr>
          <w:rFonts w:cs="Arial"/>
          <w:b/>
          <w:sz w:val="24"/>
          <w:szCs w:val="22"/>
        </w:rPr>
      </w:pPr>
      <w:r w:rsidRPr="001A546E">
        <w:rPr>
          <w:rFonts w:cs="Arial"/>
          <w:b/>
          <w:sz w:val="24"/>
        </w:rPr>
        <w:t xml:space="preserve">Laboratory: </w:t>
      </w: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UCR Stem Cell Core houses a tissue culture suite with three clean culture rooms and five tissue culture </w:t>
      </w:r>
      <w:proofErr w:type="spellStart"/>
      <w:r>
        <w:rPr>
          <w:rFonts w:cs="Arial"/>
          <w:sz w:val="22"/>
          <w:szCs w:val="22"/>
        </w:rPr>
        <w:t>biosafety</w:t>
      </w:r>
      <w:proofErr w:type="spellEnd"/>
      <w:r>
        <w:rPr>
          <w:rFonts w:cs="Arial"/>
          <w:sz w:val="22"/>
          <w:szCs w:val="22"/>
        </w:rPr>
        <w:t xml:space="preserve"> cabinets (level II) for cell culture.  All hoods are certified for culturing human cells, generating virus, </w:t>
      </w:r>
      <w:proofErr w:type="spellStart"/>
      <w:r>
        <w:rPr>
          <w:rFonts w:cs="Arial"/>
          <w:sz w:val="22"/>
          <w:szCs w:val="22"/>
        </w:rPr>
        <w:t>transfection</w:t>
      </w:r>
      <w:proofErr w:type="spellEnd"/>
      <w:r>
        <w:rPr>
          <w:rFonts w:cs="Arial"/>
          <w:sz w:val="22"/>
          <w:szCs w:val="22"/>
        </w:rPr>
        <w:t xml:space="preserve"> and virus transduction.  Human embryonic stem cells (</w:t>
      </w:r>
      <w:proofErr w:type="spellStart"/>
      <w:r>
        <w:rPr>
          <w:rFonts w:cs="Arial"/>
          <w:sz w:val="22"/>
          <w:szCs w:val="22"/>
        </w:rPr>
        <w:t>HESCs</w:t>
      </w:r>
      <w:proofErr w:type="spellEnd"/>
      <w:r>
        <w:rPr>
          <w:rFonts w:cs="Arial"/>
          <w:sz w:val="22"/>
          <w:szCs w:val="22"/>
        </w:rPr>
        <w:t xml:space="preserve">), induced </w:t>
      </w:r>
      <w:proofErr w:type="spellStart"/>
      <w:r>
        <w:rPr>
          <w:rFonts w:cs="Arial"/>
          <w:sz w:val="22"/>
          <w:szCs w:val="22"/>
        </w:rPr>
        <w:t>pluripotent</w:t>
      </w:r>
      <w:proofErr w:type="spellEnd"/>
      <w:r>
        <w:rPr>
          <w:rFonts w:cs="Arial"/>
          <w:sz w:val="22"/>
          <w:szCs w:val="22"/>
        </w:rPr>
        <w:t xml:space="preserve"> stem cells (</w:t>
      </w:r>
      <w:proofErr w:type="spellStart"/>
      <w:r>
        <w:rPr>
          <w:rFonts w:cs="Arial"/>
          <w:sz w:val="22"/>
          <w:szCs w:val="22"/>
        </w:rPr>
        <w:t>iPSCs</w:t>
      </w:r>
      <w:proofErr w:type="spellEnd"/>
      <w:r>
        <w:rPr>
          <w:rFonts w:cs="Arial"/>
          <w:sz w:val="22"/>
          <w:szCs w:val="22"/>
        </w:rPr>
        <w:t>), mouse embryonic fibroblast and human foreskin fibroblast cells will be cultured in the Stem Cell Core.</w:t>
      </w:r>
    </w:p>
    <w:p w:rsidR="001A546E" w:rsidRDefault="001A546E" w:rsidP="001A546E">
      <w:pPr>
        <w:ind w:right="90"/>
        <w:rPr>
          <w:rFonts w:cs="Arial"/>
          <w:sz w:val="22"/>
          <w:szCs w:val="22"/>
        </w:rPr>
      </w:pP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standard inverted microscope is available in each tissue culture room, one of which with fluorescence optics is also available.  </w:t>
      </w: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Fume hood for handling hazardous chemicals is available.  </w:t>
      </w: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</w:p>
    <w:p w:rsidR="001A546E" w:rsidRPr="000A650C" w:rsidRDefault="001A546E" w:rsidP="001A546E">
      <w:pPr>
        <w:ind w:left="180" w:right="9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Biostation</w:t>
      </w:r>
      <w:proofErr w:type="spellEnd"/>
      <w:r>
        <w:rPr>
          <w:rFonts w:cs="Arial"/>
          <w:sz w:val="22"/>
          <w:szCs w:val="22"/>
        </w:rPr>
        <w:t xml:space="preserve"> CT for live cell imaging is located in the tissue culture suite.</w:t>
      </w: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 inverted microscope with fluorescence optics and high-resolution </w:t>
      </w:r>
      <w:proofErr w:type="spellStart"/>
      <w:r>
        <w:rPr>
          <w:rFonts w:cs="Arial"/>
          <w:sz w:val="22"/>
          <w:szCs w:val="22"/>
        </w:rPr>
        <w:t>deconvolution</w:t>
      </w:r>
      <w:proofErr w:type="spellEnd"/>
      <w:r>
        <w:rPr>
          <w:rFonts w:cs="Arial"/>
          <w:sz w:val="22"/>
          <w:szCs w:val="22"/>
        </w:rPr>
        <w:t xml:space="preserve"> module (Nikon </w:t>
      </w:r>
      <w:proofErr w:type="spellStart"/>
      <w:r>
        <w:rPr>
          <w:rFonts w:cs="Arial"/>
          <w:sz w:val="22"/>
          <w:szCs w:val="22"/>
        </w:rPr>
        <w:t>Eclise</w:t>
      </w:r>
      <w:proofErr w:type="spellEnd"/>
      <w:r>
        <w:rPr>
          <w:rFonts w:cs="Arial"/>
          <w:sz w:val="22"/>
          <w:szCs w:val="22"/>
        </w:rPr>
        <w:t xml:space="preserve"> TI) and a dissecting microscope (Nikon SMZ 800) are located in Microscope Room in the Stem Cell Core. </w:t>
      </w: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</w:p>
    <w:p w:rsidR="001A546E" w:rsidRPr="000A650C" w:rsidRDefault="001A546E" w:rsidP="001A546E">
      <w:pPr>
        <w:ind w:left="180"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Core has an Analytical Room for conducting molecular work.  Analytical Room houses a 96-well PCR machine, 384-well real time quantitative PCR, gel imaging instrument, a 3-color and UV Cell Lab SC Quanta flow </w:t>
      </w:r>
      <w:proofErr w:type="spellStart"/>
      <w:r>
        <w:rPr>
          <w:rFonts w:cs="Arial"/>
          <w:sz w:val="22"/>
          <w:szCs w:val="22"/>
        </w:rPr>
        <w:t>cytometer</w:t>
      </w:r>
      <w:proofErr w:type="spellEnd"/>
      <w:r>
        <w:rPr>
          <w:rFonts w:cs="Arial"/>
          <w:sz w:val="22"/>
          <w:szCs w:val="22"/>
        </w:rPr>
        <w:t xml:space="preserve"> (Becton Dickinson), a </w:t>
      </w:r>
      <w:proofErr w:type="spellStart"/>
      <w:r>
        <w:rPr>
          <w:rFonts w:cs="Arial"/>
          <w:sz w:val="22"/>
          <w:szCs w:val="22"/>
        </w:rPr>
        <w:t>luminometer</w:t>
      </w:r>
      <w:proofErr w:type="spellEnd"/>
      <w:r>
        <w:rPr>
          <w:rFonts w:cs="Arial"/>
          <w:sz w:val="22"/>
          <w:szCs w:val="22"/>
        </w:rPr>
        <w:t xml:space="preserve"> and a </w:t>
      </w:r>
      <w:proofErr w:type="spellStart"/>
      <w:r>
        <w:rPr>
          <w:rFonts w:cs="Arial"/>
          <w:sz w:val="22"/>
          <w:szCs w:val="22"/>
        </w:rPr>
        <w:t>Qubit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fluorometer</w:t>
      </w:r>
      <w:proofErr w:type="spellEnd"/>
      <w:r>
        <w:rPr>
          <w:rFonts w:cs="Arial"/>
          <w:sz w:val="22"/>
          <w:szCs w:val="22"/>
        </w:rPr>
        <w:t>.</w:t>
      </w: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Stem Cell Core Annex, small extension of the Core and is merely 100 feet away.  The Annex houses a </w:t>
      </w:r>
      <w:proofErr w:type="spellStart"/>
      <w:r>
        <w:rPr>
          <w:rFonts w:cs="Arial"/>
          <w:sz w:val="22"/>
          <w:szCs w:val="22"/>
        </w:rPr>
        <w:t>Luminex</w:t>
      </w:r>
      <w:proofErr w:type="spellEnd"/>
      <w:r>
        <w:rPr>
          <w:rFonts w:cs="Arial"/>
          <w:sz w:val="22"/>
          <w:szCs w:val="22"/>
        </w:rPr>
        <w:t xml:space="preserve"> instrument.</w:t>
      </w: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</w:p>
    <w:p w:rsidR="001A546E" w:rsidRPr="000A650C" w:rsidRDefault="001A546E" w:rsidP="001A546E">
      <w:pPr>
        <w:ind w:right="90"/>
        <w:rPr>
          <w:rFonts w:cs="Arial"/>
          <w:sz w:val="22"/>
          <w:szCs w:val="22"/>
        </w:rPr>
      </w:pPr>
    </w:p>
    <w:p w:rsidR="001A546E" w:rsidRPr="001A546E" w:rsidRDefault="001A546E" w:rsidP="001A546E">
      <w:pPr>
        <w:ind w:left="180" w:right="90"/>
        <w:rPr>
          <w:rFonts w:cs="Arial"/>
          <w:b/>
          <w:sz w:val="24"/>
          <w:szCs w:val="22"/>
        </w:rPr>
      </w:pPr>
      <w:r w:rsidRPr="001A546E">
        <w:rPr>
          <w:rFonts w:cs="Arial"/>
          <w:b/>
          <w:sz w:val="24"/>
        </w:rPr>
        <w:t>Computer:</w:t>
      </w:r>
      <w:r w:rsidRPr="001A546E">
        <w:rPr>
          <w:rFonts w:cs="Arial"/>
          <w:b/>
          <w:sz w:val="24"/>
          <w:szCs w:val="22"/>
        </w:rPr>
        <w:t xml:space="preserve"> </w:t>
      </w: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Core has three Windows PCs for analysis of images and videos collected from </w:t>
      </w:r>
      <w:proofErr w:type="spellStart"/>
      <w:r>
        <w:rPr>
          <w:rFonts w:cs="Arial"/>
          <w:sz w:val="22"/>
          <w:szCs w:val="22"/>
        </w:rPr>
        <w:t>Biostation</w:t>
      </w:r>
      <w:proofErr w:type="spellEnd"/>
      <w:r>
        <w:rPr>
          <w:rFonts w:cs="Arial"/>
          <w:sz w:val="22"/>
          <w:szCs w:val="22"/>
        </w:rPr>
        <w:t xml:space="preserve"> CT and three Window PCs connected to fluorescence and stereomicroscopes.</w:t>
      </w:r>
    </w:p>
    <w:p w:rsidR="001A546E" w:rsidRDefault="001A546E" w:rsidP="001A546E">
      <w:pPr>
        <w:ind w:right="90"/>
        <w:rPr>
          <w:rFonts w:cs="Arial"/>
          <w:sz w:val="22"/>
          <w:szCs w:val="22"/>
        </w:rPr>
      </w:pPr>
    </w:p>
    <w:p w:rsidR="001A546E" w:rsidRPr="00880052" w:rsidRDefault="001A546E" w:rsidP="001A546E">
      <w:pPr>
        <w:ind w:left="180" w:right="90"/>
        <w:rPr>
          <w:rFonts w:cs="Arial"/>
          <w:sz w:val="22"/>
          <w:szCs w:val="22"/>
        </w:rPr>
      </w:pPr>
    </w:p>
    <w:p w:rsidR="001A546E" w:rsidRPr="001A546E" w:rsidRDefault="001A546E" w:rsidP="001A546E">
      <w:pPr>
        <w:ind w:left="180" w:right="90"/>
        <w:rPr>
          <w:rFonts w:cs="Arial"/>
          <w:b/>
          <w:sz w:val="24"/>
          <w:szCs w:val="22"/>
        </w:rPr>
      </w:pPr>
      <w:r w:rsidRPr="001A546E">
        <w:rPr>
          <w:rFonts w:cs="Arial"/>
          <w:b/>
          <w:sz w:val="24"/>
        </w:rPr>
        <w:t>Other:</w:t>
      </w:r>
      <w:r w:rsidRPr="001A546E">
        <w:rPr>
          <w:rFonts w:cs="Arial"/>
          <w:b/>
          <w:sz w:val="24"/>
          <w:szCs w:val="22"/>
        </w:rPr>
        <w:t xml:space="preserve"> </w:t>
      </w: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Genomics </w:t>
      </w:r>
      <w:proofErr w:type="gramStart"/>
      <w:r>
        <w:rPr>
          <w:rFonts w:cs="Arial"/>
          <w:sz w:val="22"/>
          <w:szCs w:val="22"/>
        </w:rPr>
        <w:t>Core,</w:t>
      </w:r>
      <w:proofErr w:type="gramEnd"/>
      <w:r>
        <w:rPr>
          <w:rFonts w:cs="Arial"/>
          <w:sz w:val="22"/>
          <w:szCs w:val="22"/>
        </w:rPr>
        <w:t xml:space="preserve"> located directly adjacent to the Stem Cell Core offers other instruments including a FACS cell sorter, Applied </w:t>
      </w:r>
      <w:proofErr w:type="spellStart"/>
      <w:r>
        <w:rPr>
          <w:rFonts w:cs="Arial"/>
          <w:sz w:val="22"/>
          <w:szCs w:val="22"/>
        </w:rPr>
        <w:t>Biosystems</w:t>
      </w:r>
      <w:proofErr w:type="spellEnd"/>
      <w:r>
        <w:rPr>
          <w:rFonts w:cs="Arial"/>
          <w:sz w:val="22"/>
          <w:szCs w:val="22"/>
        </w:rPr>
        <w:t xml:space="preserve"> and </w:t>
      </w:r>
      <w:proofErr w:type="spellStart"/>
      <w:r>
        <w:rPr>
          <w:rFonts w:cs="Arial"/>
          <w:sz w:val="22"/>
          <w:szCs w:val="22"/>
        </w:rPr>
        <w:t>Illumina</w:t>
      </w:r>
      <w:proofErr w:type="spellEnd"/>
      <w:r>
        <w:rPr>
          <w:rFonts w:cs="Arial"/>
          <w:sz w:val="22"/>
          <w:szCs w:val="22"/>
        </w:rPr>
        <w:t xml:space="preserve"> DNA Sequencer, and </w:t>
      </w:r>
      <w:proofErr w:type="spellStart"/>
      <w:r>
        <w:rPr>
          <w:rFonts w:cs="Arial"/>
          <w:sz w:val="22"/>
          <w:szCs w:val="22"/>
        </w:rPr>
        <w:t>Affymetrix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Genechip</w:t>
      </w:r>
      <w:proofErr w:type="spellEnd"/>
      <w:r>
        <w:rPr>
          <w:rFonts w:cs="Arial"/>
          <w:sz w:val="22"/>
          <w:szCs w:val="22"/>
        </w:rPr>
        <w:t xml:space="preserve"> services (if needed).</w:t>
      </w: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Microscopy Core, also located directly adjacent to the Stem Cell Core houses several </w:t>
      </w:r>
      <w:proofErr w:type="spellStart"/>
      <w:r>
        <w:rPr>
          <w:rFonts w:cs="Arial"/>
          <w:sz w:val="22"/>
          <w:szCs w:val="22"/>
        </w:rPr>
        <w:t>confocoal</w:t>
      </w:r>
      <w:proofErr w:type="spellEnd"/>
      <w:r>
        <w:rPr>
          <w:rFonts w:cs="Arial"/>
          <w:sz w:val="22"/>
          <w:szCs w:val="22"/>
        </w:rPr>
        <w:t xml:space="preserve"> microscopes and a scanning electron microscope (if needed).</w:t>
      </w:r>
    </w:p>
    <w:p w:rsidR="001A546E" w:rsidRDefault="001A546E" w:rsidP="001A546E">
      <w:pPr>
        <w:ind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1A546E" w:rsidRDefault="001A546E" w:rsidP="001A546E">
      <w:pPr>
        <w:ind w:right="90"/>
        <w:rPr>
          <w:rFonts w:cs="Arial"/>
          <w:sz w:val="22"/>
          <w:szCs w:val="22"/>
        </w:rPr>
      </w:pPr>
    </w:p>
    <w:p w:rsidR="001A546E" w:rsidRPr="00880052" w:rsidRDefault="001A546E" w:rsidP="001A546E">
      <w:pPr>
        <w:ind w:right="90"/>
        <w:rPr>
          <w:rFonts w:cs="Arial"/>
          <w:sz w:val="22"/>
          <w:szCs w:val="22"/>
        </w:rPr>
      </w:pPr>
    </w:p>
    <w:p w:rsidR="001A546E" w:rsidRDefault="001A546E" w:rsidP="001A546E">
      <w:pPr>
        <w:ind w:left="180" w:right="90"/>
        <w:rPr>
          <w:rFonts w:cs="Arial"/>
          <w:sz w:val="17"/>
        </w:rPr>
      </w:pPr>
    </w:p>
    <w:p w:rsidR="001A546E" w:rsidRDefault="001A546E" w:rsidP="001A546E">
      <w:pPr>
        <w:ind w:left="180" w:right="90"/>
        <w:rPr>
          <w:rFonts w:cs="Arial"/>
          <w:sz w:val="17"/>
        </w:rPr>
      </w:pPr>
    </w:p>
    <w:p w:rsidR="001A546E" w:rsidRDefault="001A546E" w:rsidP="001A546E">
      <w:pPr>
        <w:ind w:left="180" w:right="90"/>
        <w:rPr>
          <w:rFonts w:cs="Arial"/>
          <w:sz w:val="17"/>
        </w:rPr>
      </w:pPr>
    </w:p>
    <w:p w:rsidR="001A546E" w:rsidRDefault="001A546E" w:rsidP="001A546E">
      <w:pPr>
        <w:ind w:left="180" w:right="90"/>
        <w:rPr>
          <w:rFonts w:cs="Arial"/>
          <w:sz w:val="17"/>
        </w:rPr>
      </w:pPr>
    </w:p>
    <w:p w:rsidR="001A546E" w:rsidRDefault="001A546E" w:rsidP="001A546E">
      <w:pPr>
        <w:ind w:left="180" w:right="90"/>
        <w:rPr>
          <w:rFonts w:cs="Arial"/>
          <w:sz w:val="17"/>
        </w:rPr>
      </w:pPr>
    </w:p>
    <w:p w:rsidR="001A546E" w:rsidRDefault="001A546E" w:rsidP="001A546E">
      <w:pPr>
        <w:ind w:left="180" w:right="90"/>
        <w:rPr>
          <w:rFonts w:cs="Arial"/>
          <w:sz w:val="17"/>
        </w:rPr>
      </w:pPr>
    </w:p>
    <w:p w:rsidR="001A546E" w:rsidRDefault="001A546E" w:rsidP="001A546E">
      <w:pPr>
        <w:ind w:left="180" w:right="90"/>
        <w:rPr>
          <w:rFonts w:cs="Arial"/>
          <w:sz w:val="17"/>
        </w:rPr>
      </w:pPr>
    </w:p>
    <w:p w:rsidR="001A546E" w:rsidRDefault="001A546E" w:rsidP="001A546E">
      <w:pPr>
        <w:ind w:left="180" w:right="90"/>
        <w:rPr>
          <w:rFonts w:cs="Arial"/>
          <w:sz w:val="17"/>
        </w:rPr>
      </w:pPr>
    </w:p>
    <w:p w:rsidR="001A546E" w:rsidRPr="001A546E" w:rsidRDefault="001A546E" w:rsidP="001A546E">
      <w:pPr>
        <w:ind w:left="180" w:right="90"/>
        <w:rPr>
          <w:rFonts w:cs="Arial"/>
          <w:b/>
          <w:spacing w:val="-4"/>
          <w:sz w:val="24"/>
          <w:szCs w:val="22"/>
        </w:rPr>
      </w:pPr>
      <w:r w:rsidRPr="001A546E">
        <w:rPr>
          <w:rFonts w:cs="Arial"/>
          <w:b/>
          <w:sz w:val="24"/>
        </w:rPr>
        <w:t xml:space="preserve">MAJOR EQUIPMENT:  </w:t>
      </w:r>
      <w:r w:rsidRPr="001A546E">
        <w:rPr>
          <w:rFonts w:cs="Arial"/>
          <w:b/>
          <w:spacing w:val="-4"/>
          <w:sz w:val="24"/>
        </w:rPr>
        <w:t xml:space="preserve">List the most important equipment items already available for this project, noting the location and pertinent capabilities of each. </w:t>
      </w:r>
    </w:p>
    <w:p w:rsidR="001A546E" w:rsidRPr="001A546E" w:rsidRDefault="001A546E" w:rsidP="001A546E">
      <w:pPr>
        <w:ind w:left="180" w:right="90"/>
        <w:rPr>
          <w:rFonts w:cs="Arial"/>
          <w:b/>
          <w:sz w:val="24"/>
          <w:szCs w:val="22"/>
        </w:rPr>
      </w:pP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A 384-well real time quantitative PCR instrument, Stem Cell Core for high throughput quantitative PCR gene expression analysis.</w:t>
      </w:r>
      <w:proofErr w:type="gramEnd"/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An inverted microscope with fluorescence optics and high-resolution </w:t>
      </w:r>
      <w:proofErr w:type="spellStart"/>
      <w:r>
        <w:rPr>
          <w:rFonts w:cs="Arial"/>
          <w:sz w:val="22"/>
          <w:szCs w:val="22"/>
        </w:rPr>
        <w:t>deconvolution</w:t>
      </w:r>
      <w:proofErr w:type="spellEnd"/>
      <w:r>
        <w:rPr>
          <w:rFonts w:cs="Arial"/>
          <w:sz w:val="22"/>
          <w:szCs w:val="22"/>
        </w:rPr>
        <w:t xml:space="preserve"> module (Nikon </w:t>
      </w:r>
      <w:proofErr w:type="spellStart"/>
      <w:r>
        <w:rPr>
          <w:rFonts w:cs="Arial"/>
          <w:sz w:val="22"/>
          <w:szCs w:val="22"/>
        </w:rPr>
        <w:t>Eclise</w:t>
      </w:r>
      <w:proofErr w:type="spellEnd"/>
      <w:r>
        <w:rPr>
          <w:rFonts w:cs="Arial"/>
          <w:sz w:val="22"/>
          <w:szCs w:val="22"/>
        </w:rPr>
        <w:t xml:space="preserve"> TI) for </w:t>
      </w:r>
      <w:proofErr w:type="spellStart"/>
      <w:r>
        <w:rPr>
          <w:rFonts w:cs="Arial"/>
          <w:sz w:val="22"/>
          <w:szCs w:val="22"/>
        </w:rPr>
        <w:t>immunocytochemistry</w:t>
      </w:r>
      <w:proofErr w:type="spellEnd"/>
      <w:r>
        <w:rPr>
          <w:rFonts w:cs="Arial"/>
          <w:sz w:val="22"/>
          <w:szCs w:val="22"/>
        </w:rPr>
        <w:t xml:space="preserve"> analysis, Stem Cell Core.</w:t>
      </w:r>
      <w:proofErr w:type="gramEnd"/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magnetic activated cell sorter (MACS) instrument, Stem Cell Core.  MACS instrument will be used for isolating differentiated cells following incubation with magnetic bead-conjugated primary or secondary antibodies.</w:t>
      </w: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Cell Lab SC Quanta flow </w:t>
      </w:r>
      <w:proofErr w:type="spellStart"/>
      <w:r>
        <w:rPr>
          <w:rFonts w:cs="Arial"/>
          <w:sz w:val="22"/>
          <w:szCs w:val="22"/>
        </w:rPr>
        <w:t>cytometer</w:t>
      </w:r>
      <w:proofErr w:type="spellEnd"/>
      <w:r>
        <w:rPr>
          <w:rFonts w:cs="Arial"/>
          <w:sz w:val="22"/>
          <w:szCs w:val="22"/>
        </w:rPr>
        <w:t xml:space="preserve"> (Becton Dickinson) capable for 3-color fluorescence and cell cycle analysis (with UV lamp equipped), Stem Cell Core.</w:t>
      </w: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Biostation</w:t>
      </w:r>
      <w:proofErr w:type="spellEnd"/>
      <w:r>
        <w:rPr>
          <w:rFonts w:cs="Arial"/>
          <w:sz w:val="22"/>
          <w:szCs w:val="22"/>
        </w:rPr>
        <w:t xml:space="preserve"> CT real-time cell imaging </w:t>
      </w:r>
      <w:proofErr w:type="spellStart"/>
      <w:r>
        <w:rPr>
          <w:rFonts w:cs="Arial"/>
          <w:sz w:val="22"/>
          <w:szCs w:val="22"/>
        </w:rPr>
        <w:t>bioincubator</w:t>
      </w:r>
      <w:proofErr w:type="spellEnd"/>
      <w:r>
        <w:rPr>
          <w:rFonts w:cs="Arial"/>
          <w:sz w:val="22"/>
          <w:szCs w:val="22"/>
        </w:rPr>
        <w:t xml:space="preserve">, capable for capturing images of cultured cells over an extended period of time and CL Quant </w:t>
      </w:r>
      <w:proofErr w:type="spellStart"/>
      <w:r>
        <w:rPr>
          <w:rFonts w:cs="Arial"/>
          <w:sz w:val="22"/>
          <w:szCs w:val="22"/>
        </w:rPr>
        <w:t>bioinformatic</w:t>
      </w:r>
      <w:proofErr w:type="spellEnd"/>
      <w:r>
        <w:rPr>
          <w:rFonts w:cs="Arial"/>
          <w:sz w:val="22"/>
          <w:szCs w:val="22"/>
        </w:rPr>
        <w:t xml:space="preserve"> tools are located in the Stem Cell Core.</w:t>
      </w: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proofErr w:type="spellStart"/>
      <w:r>
        <w:rPr>
          <w:rFonts w:cs="Arial"/>
          <w:sz w:val="22"/>
          <w:szCs w:val="22"/>
        </w:rPr>
        <w:t>Luminex</w:t>
      </w:r>
      <w:proofErr w:type="spellEnd"/>
      <w:r>
        <w:rPr>
          <w:rFonts w:cs="Arial"/>
          <w:sz w:val="22"/>
          <w:szCs w:val="22"/>
        </w:rPr>
        <w:t xml:space="preserve"> instrument for protein and cytokine multiplexing is located in the Stem Cell Core Annex (merely 100 feet away from the Core). </w:t>
      </w: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</w:p>
    <w:p w:rsidR="001A546E" w:rsidRDefault="001A546E" w:rsidP="001A546E">
      <w:pPr>
        <w:ind w:left="180"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BD FACSARIA III cell sorter (BD Biosciences) for fluorescence-activated cell sorting is located in Genomics Core, directly adjacent to the Stem Cell Core.</w:t>
      </w:r>
    </w:p>
    <w:p w:rsidR="001A546E" w:rsidRDefault="001A546E" w:rsidP="001A546E">
      <w:pPr>
        <w:ind w:right="90"/>
        <w:rPr>
          <w:rFonts w:cs="Arial"/>
          <w:spacing w:val="-4"/>
          <w:sz w:val="22"/>
          <w:szCs w:val="22"/>
        </w:rPr>
      </w:pPr>
    </w:p>
    <w:p w:rsidR="001A546E" w:rsidRDefault="001A546E" w:rsidP="001A546E">
      <w:pPr>
        <w:ind w:right="90"/>
        <w:rPr>
          <w:rFonts w:cs="Arial"/>
          <w:spacing w:val="-4"/>
          <w:sz w:val="22"/>
          <w:szCs w:val="22"/>
        </w:rPr>
      </w:pPr>
    </w:p>
    <w:p w:rsidR="001A546E" w:rsidRPr="00880052" w:rsidRDefault="001A546E" w:rsidP="001A546E">
      <w:pPr>
        <w:ind w:right="90"/>
        <w:rPr>
          <w:rFonts w:cs="Arial"/>
          <w:spacing w:val="-4"/>
          <w:sz w:val="22"/>
          <w:szCs w:val="22"/>
        </w:rPr>
      </w:pPr>
    </w:p>
    <w:p w:rsidR="001A546E" w:rsidRDefault="001A546E" w:rsidP="001A546E">
      <w:pPr>
        <w:spacing w:before="240"/>
        <w:ind w:left="180"/>
        <w:rPr>
          <w:rFonts w:cs="Arial"/>
          <w:sz w:val="17"/>
        </w:rPr>
      </w:pPr>
    </w:p>
    <w:p w:rsidR="001A546E" w:rsidRDefault="001A546E" w:rsidP="001A546E">
      <w:pPr>
        <w:spacing w:before="240"/>
        <w:ind w:left="180"/>
        <w:rPr>
          <w:rFonts w:cs="Arial"/>
          <w:sz w:val="17"/>
        </w:rPr>
      </w:pPr>
    </w:p>
    <w:p w:rsidR="001A546E" w:rsidRDefault="001A546E" w:rsidP="001A546E">
      <w:pPr>
        <w:spacing w:before="240"/>
        <w:ind w:left="180"/>
        <w:rPr>
          <w:rFonts w:cs="Arial"/>
          <w:sz w:val="17"/>
        </w:rPr>
      </w:pPr>
    </w:p>
    <w:p w:rsidR="001A546E" w:rsidRDefault="001A546E" w:rsidP="001A546E">
      <w:pPr>
        <w:spacing w:before="240"/>
        <w:ind w:left="180"/>
        <w:rPr>
          <w:rFonts w:cs="Arial"/>
          <w:sz w:val="17"/>
        </w:rPr>
      </w:pPr>
    </w:p>
    <w:p w:rsidR="001A546E" w:rsidRDefault="001A546E" w:rsidP="001A546E">
      <w:pPr>
        <w:spacing w:before="240"/>
        <w:ind w:left="180"/>
        <w:rPr>
          <w:rFonts w:cs="Arial"/>
          <w:sz w:val="17"/>
        </w:rPr>
      </w:pPr>
    </w:p>
    <w:p w:rsidR="001A546E" w:rsidRDefault="001A546E" w:rsidP="001A546E">
      <w:pPr>
        <w:spacing w:before="240"/>
        <w:ind w:left="180"/>
        <w:rPr>
          <w:rFonts w:cs="Arial"/>
          <w:sz w:val="17"/>
        </w:rPr>
      </w:pPr>
    </w:p>
    <w:p w:rsidR="001A546E" w:rsidRDefault="001A546E" w:rsidP="001A546E">
      <w:pPr>
        <w:spacing w:before="240"/>
        <w:ind w:left="180"/>
        <w:rPr>
          <w:rFonts w:cs="Arial"/>
          <w:sz w:val="17"/>
        </w:rPr>
      </w:pPr>
    </w:p>
    <w:p w:rsidR="001A546E" w:rsidRPr="004A14C1" w:rsidRDefault="001A546E" w:rsidP="001A546E">
      <w:pPr>
        <w:rPr>
          <w:sz w:val="22"/>
          <w:szCs w:val="22"/>
        </w:rPr>
      </w:pPr>
    </w:p>
    <w:p w:rsidR="00644109" w:rsidRDefault="001A546E"/>
    <w:sectPr w:rsidR="00644109" w:rsidSect="00940E3E">
      <w:footerReference w:type="default" r:id="rId4"/>
      <w:footnotePr>
        <w:numFmt w:val="chicago"/>
        <w:numRestart w:val="eachPage"/>
      </w:footnotePr>
      <w:endnotePr>
        <w:numFmt w:val="decimal"/>
      </w:endnotePr>
      <w:pgSz w:w="12240" w:h="15840" w:code="1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40E3E" w:rsidRPr="003508EE" w:rsidRDefault="001A546E" w:rsidP="00940E3E">
    <w:pPr>
      <w:pStyle w:val="Footer"/>
    </w:pPr>
    <w:r>
      <w:t>NIH</w:t>
    </w:r>
  </w:p>
  <w:p w:rsidR="00940E3E" w:rsidRDefault="001A546E" w:rsidP="00940E3E">
    <w:pPr>
      <w:pStyle w:val="Footer"/>
      <w:tabs>
        <w:tab w:val="left" w:pos="6120"/>
      </w:tabs>
      <w:rPr>
        <w:sz w:val="18"/>
      </w:rPr>
    </w:pPr>
  </w:p>
  <w:p w:rsidR="00940E3E" w:rsidRDefault="001A546E" w:rsidP="00940E3E">
    <w:pPr>
      <w:pStyle w:val="Footer"/>
      <w:tabs>
        <w:tab w:val="left" w:pos="6120"/>
      </w:tabs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546E"/>
    <w:rsid w:val="001A546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6E"/>
    <w:pPr>
      <w:spacing w:after="0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1A5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546E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A5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46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495</Words>
  <Characters>2825</Characters>
  <Application>Microsoft Word 12.1.0</Application>
  <DocSecurity>0</DocSecurity>
  <Lines>23</Lines>
  <Paragraphs>5</Paragraphs>
  <ScaleCrop>false</ScaleCrop>
  <Company>UCI</Company>
  <LinksUpToDate>false</LinksUpToDate>
  <CharactersWithSpaces>3469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 Liew</dc:creator>
  <cp:keywords/>
  <cp:lastModifiedBy>Chee Liew</cp:lastModifiedBy>
  <cp:revision>1</cp:revision>
  <dcterms:created xsi:type="dcterms:W3CDTF">2011-01-12T23:45:00Z</dcterms:created>
  <dcterms:modified xsi:type="dcterms:W3CDTF">2011-01-12T23:56:00Z</dcterms:modified>
</cp:coreProperties>
</file>